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BDEE8" w14:textId="77777777" w:rsidR="001B4F00" w:rsidRPr="00D53C49" w:rsidRDefault="001B4F00" w:rsidP="001B4F00"/>
    <w:p w14:paraId="10C54253" w14:textId="77777777" w:rsidR="001B4F00" w:rsidRPr="001B4F00" w:rsidRDefault="001B4F00" w:rsidP="001B4F00">
      <w:pPr>
        <w:jc w:val="center"/>
        <w:rPr>
          <w:rFonts w:ascii="Cambria" w:eastAsia="Calibri" w:hAnsi="Cambria" w:cs="Times New Roman"/>
          <w:b/>
          <w:sz w:val="52"/>
          <w:szCs w:val="52"/>
        </w:rPr>
      </w:pPr>
      <w:r w:rsidRPr="001B4F00">
        <w:rPr>
          <w:rFonts w:ascii="Cambria" w:eastAsia="Calibri" w:hAnsi="Cambria" w:cs="Times New Roman"/>
          <w:b/>
          <w:sz w:val="52"/>
          <w:szCs w:val="52"/>
        </w:rPr>
        <w:t>Submission</w:t>
      </w:r>
    </w:p>
    <w:p w14:paraId="7A8E183B" w14:textId="77777777" w:rsidR="001B4F00" w:rsidRPr="00A07F27" w:rsidRDefault="001B4F00" w:rsidP="001B4F00">
      <w:pPr>
        <w:jc w:val="center"/>
        <w:rPr>
          <w:rFonts w:ascii="Cambria" w:eastAsia="Calibri" w:hAnsi="Cambria" w:cs="Times New Roman"/>
          <w:b/>
          <w:sz w:val="28"/>
          <w:szCs w:val="28"/>
        </w:rPr>
      </w:pPr>
    </w:p>
    <w:p w14:paraId="38448479" w14:textId="77777777" w:rsidR="001B4F00" w:rsidRPr="00A07F27" w:rsidRDefault="001B4F00" w:rsidP="001B4F00">
      <w:pPr>
        <w:jc w:val="center"/>
        <w:rPr>
          <w:rFonts w:ascii="Cambria" w:eastAsia="Calibri" w:hAnsi="Cambria" w:cs="Times New Roman"/>
          <w:b/>
          <w:sz w:val="28"/>
          <w:szCs w:val="28"/>
        </w:rPr>
      </w:pPr>
    </w:p>
    <w:p w14:paraId="379AE54F" w14:textId="77777777" w:rsidR="001B4F00" w:rsidRPr="00A07F27" w:rsidRDefault="001B4F00" w:rsidP="001B4F00">
      <w:pPr>
        <w:jc w:val="center"/>
        <w:rPr>
          <w:rFonts w:ascii="Cambria" w:eastAsia="Calibri" w:hAnsi="Cambria" w:cs="Times New Roman"/>
          <w:b/>
          <w:sz w:val="28"/>
          <w:szCs w:val="28"/>
        </w:rPr>
      </w:pPr>
    </w:p>
    <w:p w14:paraId="4C5BC8E3" w14:textId="77777777" w:rsidR="001B4F00" w:rsidRPr="001B4F00" w:rsidRDefault="001B4F00" w:rsidP="001B4F00">
      <w:pPr>
        <w:jc w:val="center"/>
        <w:rPr>
          <w:rFonts w:ascii="Cambria" w:eastAsia="Calibri" w:hAnsi="Cambria" w:cs="Times New Roman"/>
          <w:b/>
          <w:sz w:val="32"/>
          <w:szCs w:val="32"/>
        </w:rPr>
      </w:pPr>
      <w:r w:rsidRPr="001B4F00">
        <w:rPr>
          <w:rFonts w:ascii="Cambria" w:eastAsia="Calibri" w:hAnsi="Cambria" w:cs="Times New Roman"/>
          <w:b/>
          <w:sz w:val="32"/>
          <w:szCs w:val="32"/>
        </w:rPr>
        <w:t>to the</w:t>
      </w:r>
    </w:p>
    <w:p w14:paraId="7836875A" w14:textId="77777777" w:rsidR="001B4F00" w:rsidRPr="00A07F27" w:rsidRDefault="001B4F00" w:rsidP="001B4F00">
      <w:pPr>
        <w:jc w:val="center"/>
        <w:rPr>
          <w:rFonts w:ascii="Cambria" w:eastAsia="Calibri" w:hAnsi="Cambria" w:cs="Times New Roman"/>
          <w:b/>
          <w:sz w:val="28"/>
          <w:szCs w:val="28"/>
        </w:rPr>
      </w:pPr>
    </w:p>
    <w:p w14:paraId="5EF36E32" w14:textId="77777777" w:rsidR="001B4F00" w:rsidRPr="00A07F27" w:rsidRDefault="001B4F00" w:rsidP="001B4F00">
      <w:pPr>
        <w:jc w:val="center"/>
        <w:rPr>
          <w:rFonts w:ascii="Cambria" w:eastAsia="Calibri" w:hAnsi="Cambria" w:cs="Times New Roman"/>
          <w:b/>
          <w:sz w:val="28"/>
          <w:szCs w:val="28"/>
        </w:rPr>
      </w:pPr>
    </w:p>
    <w:p w14:paraId="3BD76096" w14:textId="77777777" w:rsidR="001B4F00" w:rsidRPr="00A07F27" w:rsidRDefault="001B4F00" w:rsidP="001B4F00">
      <w:pPr>
        <w:jc w:val="center"/>
        <w:rPr>
          <w:rFonts w:ascii="Cambria" w:eastAsia="Calibri" w:hAnsi="Cambria" w:cs="Times New Roman"/>
          <w:b/>
          <w:sz w:val="28"/>
          <w:szCs w:val="28"/>
        </w:rPr>
      </w:pPr>
    </w:p>
    <w:p w14:paraId="50A12DF6" w14:textId="77777777" w:rsidR="001B4F00" w:rsidRPr="001B4F00" w:rsidRDefault="001B4F00" w:rsidP="001B4F00">
      <w:pPr>
        <w:jc w:val="center"/>
        <w:rPr>
          <w:rFonts w:ascii="Cambria" w:eastAsia="Calibri" w:hAnsi="Cambria" w:cs="Times New Roman"/>
          <w:b/>
          <w:sz w:val="56"/>
          <w:szCs w:val="56"/>
        </w:rPr>
      </w:pPr>
      <w:r w:rsidRPr="001B4F00">
        <w:rPr>
          <w:rFonts w:ascii="Cambria" w:eastAsia="Calibri" w:hAnsi="Cambria" w:cs="Times New Roman"/>
          <w:b/>
          <w:sz w:val="56"/>
          <w:szCs w:val="56"/>
        </w:rPr>
        <w:t>Department of Human Settlements</w:t>
      </w:r>
    </w:p>
    <w:p w14:paraId="526D1D8B" w14:textId="77777777" w:rsidR="001B4F00" w:rsidRPr="00A07F27" w:rsidRDefault="001B4F00" w:rsidP="001B4F00">
      <w:pPr>
        <w:jc w:val="center"/>
        <w:rPr>
          <w:rFonts w:ascii="Cambria" w:eastAsia="Calibri" w:hAnsi="Cambria" w:cs="Times New Roman"/>
          <w:b/>
          <w:sz w:val="28"/>
          <w:szCs w:val="28"/>
        </w:rPr>
      </w:pPr>
    </w:p>
    <w:p w14:paraId="3F133BE8" w14:textId="77777777" w:rsidR="001B4F00" w:rsidRDefault="001B4F00" w:rsidP="001B4F00">
      <w:pPr>
        <w:jc w:val="center"/>
        <w:rPr>
          <w:rFonts w:ascii="Cambria" w:eastAsia="Calibri" w:hAnsi="Cambria" w:cs="Times New Roman"/>
          <w:b/>
          <w:sz w:val="28"/>
          <w:szCs w:val="28"/>
        </w:rPr>
      </w:pPr>
    </w:p>
    <w:p w14:paraId="5316ADAB" w14:textId="77777777" w:rsidR="001B4F00" w:rsidRPr="00A07F27" w:rsidRDefault="001B4F00" w:rsidP="001B4F00">
      <w:pPr>
        <w:jc w:val="center"/>
        <w:rPr>
          <w:rFonts w:ascii="Cambria" w:eastAsia="Calibri" w:hAnsi="Cambria" w:cs="Times New Roman"/>
          <w:b/>
          <w:sz w:val="28"/>
          <w:szCs w:val="28"/>
        </w:rPr>
      </w:pPr>
    </w:p>
    <w:p w14:paraId="5FEE0806" w14:textId="77777777" w:rsidR="001B4F00" w:rsidRDefault="001B4F00" w:rsidP="001B4F00">
      <w:pPr>
        <w:jc w:val="center"/>
        <w:rPr>
          <w:rFonts w:ascii="Cambria" w:eastAsia="Calibri" w:hAnsi="Cambria" w:cs="Times New Roman"/>
          <w:b/>
          <w:sz w:val="32"/>
          <w:szCs w:val="32"/>
        </w:rPr>
      </w:pPr>
      <w:r w:rsidRPr="001B4F00">
        <w:rPr>
          <w:rFonts w:ascii="Cambria" w:eastAsia="Calibri" w:hAnsi="Cambria" w:cs="Times New Roman"/>
          <w:b/>
          <w:sz w:val="32"/>
          <w:szCs w:val="32"/>
        </w:rPr>
        <w:t xml:space="preserve">on the </w:t>
      </w:r>
    </w:p>
    <w:p w14:paraId="29C47832" w14:textId="77777777" w:rsidR="001B4F00" w:rsidRDefault="001B4F00" w:rsidP="001B4F00">
      <w:pPr>
        <w:jc w:val="center"/>
        <w:rPr>
          <w:rFonts w:ascii="Cambria" w:eastAsia="Calibri" w:hAnsi="Cambria" w:cs="Times New Roman"/>
          <w:b/>
          <w:sz w:val="32"/>
          <w:szCs w:val="32"/>
        </w:rPr>
      </w:pPr>
    </w:p>
    <w:p w14:paraId="3D18687C" w14:textId="77777777" w:rsidR="001B4F00" w:rsidRPr="001B4F00" w:rsidRDefault="001B4F00" w:rsidP="001B4F00">
      <w:pPr>
        <w:jc w:val="center"/>
        <w:rPr>
          <w:rFonts w:ascii="Cambria" w:eastAsia="Calibri" w:hAnsi="Cambria" w:cs="Times New Roman"/>
          <w:b/>
          <w:sz w:val="32"/>
          <w:szCs w:val="32"/>
        </w:rPr>
      </w:pPr>
    </w:p>
    <w:p w14:paraId="49B6B8BA" w14:textId="77777777" w:rsidR="001B4F00" w:rsidRPr="00A07F27" w:rsidRDefault="001B4F00" w:rsidP="001B4F00">
      <w:pPr>
        <w:jc w:val="center"/>
        <w:rPr>
          <w:rFonts w:ascii="Cambria" w:eastAsia="Calibri" w:hAnsi="Cambria" w:cs="Times New Roman"/>
          <w:b/>
          <w:sz w:val="28"/>
          <w:szCs w:val="28"/>
        </w:rPr>
      </w:pPr>
    </w:p>
    <w:p w14:paraId="01D99CA7" w14:textId="348F567E" w:rsidR="001B4F00" w:rsidRPr="001B4F00" w:rsidRDefault="001B4F00" w:rsidP="001B4F00">
      <w:pPr>
        <w:jc w:val="center"/>
        <w:rPr>
          <w:rFonts w:ascii="Cambria" w:eastAsia="Calibri" w:hAnsi="Cambria" w:cs="Times New Roman"/>
          <w:b/>
          <w:sz w:val="56"/>
          <w:szCs w:val="56"/>
        </w:rPr>
      </w:pPr>
      <w:r w:rsidRPr="001B4F00">
        <w:rPr>
          <w:rFonts w:ascii="Cambria" w:eastAsia="Calibri" w:hAnsi="Cambria" w:cs="Times New Roman"/>
          <w:b/>
          <w:sz w:val="56"/>
          <w:szCs w:val="56"/>
        </w:rPr>
        <w:t>DRAFT PREVENTION OF ILLEGA</w:t>
      </w:r>
      <w:r>
        <w:rPr>
          <w:rFonts w:ascii="Cambria" w:eastAsia="Calibri" w:hAnsi="Cambria" w:cs="Times New Roman"/>
          <w:b/>
          <w:sz w:val="56"/>
          <w:szCs w:val="56"/>
        </w:rPr>
        <w:t>L</w:t>
      </w:r>
      <w:r w:rsidRPr="001B4F00">
        <w:rPr>
          <w:rFonts w:ascii="Cambria" w:eastAsia="Calibri" w:hAnsi="Cambria" w:cs="Times New Roman"/>
          <w:b/>
          <w:sz w:val="56"/>
          <w:szCs w:val="56"/>
        </w:rPr>
        <w:t xml:space="preserve"> EVICTION FROM AND UNLAWFUL OCCUPATION OF LAND AMENDMENT BILL</w:t>
      </w:r>
      <w:r>
        <w:rPr>
          <w:rFonts w:ascii="Cambria" w:eastAsia="Calibri" w:hAnsi="Cambria" w:cs="Times New Roman"/>
          <w:b/>
          <w:sz w:val="56"/>
          <w:szCs w:val="56"/>
        </w:rPr>
        <w:t>, 2026</w:t>
      </w:r>
      <w:r w:rsidRPr="001B4F00">
        <w:rPr>
          <w:rFonts w:ascii="Cambria" w:eastAsia="Calibri" w:hAnsi="Cambria" w:cs="Times New Roman"/>
          <w:b/>
          <w:sz w:val="56"/>
          <w:szCs w:val="56"/>
        </w:rPr>
        <w:t xml:space="preserve"> </w:t>
      </w:r>
    </w:p>
    <w:p w14:paraId="145B676C" w14:textId="77777777" w:rsidR="001B4F00" w:rsidRPr="00A07F27" w:rsidRDefault="001B4F00" w:rsidP="001B4F00">
      <w:pPr>
        <w:jc w:val="center"/>
        <w:rPr>
          <w:rFonts w:ascii="Cambria" w:eastAsia="Calibri" w:hAnsi="Cambria" w:cs="Times New Roman"/>
          <w:b/>
          <w:sz w:val="28"/>
          <w:szCs w:val="28"/>
        </w:rPr>
      </w:pPr>
    </w:p>
    <w:p w14:paraId="119B48EC" w14:textId="77777777" w:rsidR="001B4F00" w:rsidRPr="00A07F27" w:rsidRDefault="001B4F00" w:rsidP="001B4F00">
      <w:pPr>
        <w:jc w:val="center"/>
        <w:rPr>
          <w:rFonts w:ascii="Cambria" w:eastAsia="Calibri" w:hAnsi="Cambria" w:cs="Times New Roman"/>
          <w:b/>
          <w:sz w:val="28"/>
          <w:szCs w:val="28"/>
        </w:rPr>
      </w:pPr>
    </w:p>
    <w:p w14:paraId="0D493013" w14:textId="77777777" w:rsidR="001B4F00" w:rsidRPr="00A07F27" w:rsidRDefault="001B4F00" w:rsidP="001B4F00">
      <w:pPr>
        <w:jc w:val="center"/>
        <w:rPr>
          <w:rFonts w:ascii="Cambria" w:eastAsia="Calibri" w:hAnsi="Cambria" w:cs="Times New Roman"/>
          <w:b/>
          <w:sz w:val="28"/>
          <w:szCs w:val="28"/>
        </w:rPr>
      </w:pPr>
    </w:p>
    <w:p w14:paraId="4BC5EE11" w14:textId="77777777" w:rsidR="001B4F00" w:rsidRPr="00A07F27" w:rsidRDefault="001B4F00" w:rsidP="001B4F00">
      <w:pPr>
        <w:jc w:val="center"/>
        <w:rPr>
          <w:rFonts w:ascii="Cambria" w:eastAsia="Calibri" w:hAnsi="Cambria" w:cs="Times New Roman"/>
          <w:b/>
          <w:sz w:val="28"/>
          <w:szCs w:val="28"/>
        </w:rPr>
      </w:pPr>
    </w:p>
    <w:p w14:paraId="034ADF9E" w14:textId="3AA069F8" w:rsidR="001B4F00" w:rsidRPr="001B4F00" w:rsidRDefault="001B4F00" w:rsidP="001B4F00">
      <w:pPr>
        <w:jc w:val="center"/>
        <w:rPr>
          <w:rFonts w:ascii="Cambria" w:eastAsia="Calibri" w:hAnsi="Cambria" w:cs="Times New Roman"/>
          <w:b/>
          <w:sz w:val="32"/>
          <w:szCs w:val="32"/>
        </w:rPr>
      </w:pPr>
      <w:r w:rsidRPr="001B4F00">
        <w:rPr>
          <w:rFonts w:ascii="Cambria" w:eastAsia="Calibri" w:hAnsi="Cambria" w:cs="Times New Roman"/>
          <w:b/>
          <w:sz w:val="32"/>
          <w:szCs w:val="32"/>
        </w:rPr>
        <w:t xml:space="preserve">5 </w:t>
      </w:r>
      <w:r w:rsidRPr="001B4F00">
        <w:rPr>
          <w:rFonts w:ascii="Cambria" w:eastAsia="Calibri" w:hAnsi="Cambria" w:cs="Times New Roman"/>
          <w:b/>
          <w:sz w:val="32"/>
          <w:szCs w:val="32"/>
        </w:rPr>
        <w:t>August 2026</w:t>
      </w:r>
    </w:p>
    <w:p w14:paraId="6A7150EA" w14:textId="77777777" w:rsidR="001B4F00" w:rsidRDefault="001B4F00" w:rsidP="001B4F00">
      <w:pPr>
        <w:jc w:val="right"/>
        <w:rPr>
          <w:rFonts w:ascii="Cambria" w:eastAsia="Calibri" w:hAnsi="Cambria" w:cs="Times New Roman"/>
          <w:b/>
          <w:sz w:val="28"/>
          <w:szCs w:val="28"/>
        </w:rPr>
      </w:pPr>
    </w:p>
    <w:p w14:paraId="183A1AC5" w14:textId="77777777" w:rsidR="001B4F00" w:rsidRDefault="001B4F00" w:rsidP="001B4F00">
      <w:pPr>
        <w:jc w:val="right"/>
        <w:rPr>
          <w:rFonts w:ascii="Cambria" w:eastAsia="Calibri" w:hAnsi="Cambria" w:cs="Times New Roman"/>
          <w:b/>
          <w:sz w:val="28"/>
          <w:szCs w:val="28"/>
        </w:rPr>
      </w:pPr>
    </w:p>
    <w:p w14:paraId="0821C86B" w14:textId="77777777" w:rsidR="001B4F00" w:rsidRDefault="001B4F00" w:rsidP="001B4F00">
      <w:pPr>
        <w:jc w:val="right"/>
        <w:rPr>
          <w:rFonts w:ascii="Cambria" w:eastAsia="Calibri" w:hAnsi="Cambria" w:cs="Times New Roman"/>
          <w:b/>
          <w:sz w:val="28"/>
          <w:szCs w:val="28"/>
        </w:rPr>
      </w:pPr>
    </w:p>
    <w:p w14:paraId="131263FA" w14:textId="77777777" w:rsidR="001B4F00" w:rsidRDefault="001B4F00" w:rsidP="001B4F00">
      <w:pPr>
        <w:jc w:val="right"/>
        <w:rPr>
          <w:rFonts w:ascii="Cambria" w:eastAsia="Calibri" w:hAnsi="Cambria" w:cs="Times New Roman"/>
          <w:b/>
          <w:sz w:val="28"/>
          <w:szCs w:val="28"/>
        </w:rPr>
      </w:pPr>
    </w:p>
    <w:p w14:paraId="3BEF95AF" w14:textId="77777777" w:rsidR="001B4F00" w:rsidRDefault="001B4F00" w:rsidP="001B4F00">
      <w:pPr>
        <w:rPr>
          <w:rFonts w:ascii="Cambria" w:eastAsia="Calibri" w:hAnsi="Cambria" w:cs="Times New Roman"/>
          <w:b/>
        </w:rPr>
      </w:pPr>
    </w:p>
    <w:p w14:paraId="43921CA7" w14:textId="26359B95" w:rsidR="001B4F00" w:rsidRPr="001B4F00" w:rsidRDefault="001B4F00" w:rsidP="001B4F00">
      <w:pPr>
        <w:rPr>
          <w:rFonts w:ascii="Cambria" w:eastAsia="Calibri" w:hAnsi="Cambria" w:cs="Times New Roman"/>
          <w:b/>
        </w:rPr>
      </w:pPr>
      <w:r w:rsidRPr="001B4F00">
        <w:rPr>
          <w:rFonts w:ascii="Cambria" w:eastAsia="Calibri" w:hAnsi="Cambria" w:cs="Times New Roman"/>
          <w:b/>
        </w:rPr>
        <w:t>1.</w:t>
      </w:r>
      <w:r>
        <w:rPr>
          <w:rFonts w:ascii="Cambria" w:eastAsia="Calibri" w:hAnsi="Cambria" w:cs="Times New Roman"/>
          <w:b/>
        </w:rPr>
        <w:t xml:space="preserve"> Introduction</w:t>
      </w:r>
      <w:r w:rsidRPr="001B4F00">
        <w:rPr>
          <w:rFonts w:ascii="Cambria" w:eastAsia="Calibri" w:hAnsi="Cambria" w:cs="Times New Roman"/>
          <w:b/>
        </w:rPr>
        <w:t xml:space="preserve"> </w:t>
      </w:r>
    </w:p>
    <w:p w14:paraId="64CC2853" w14:textId="77777777" w:rsidR="001B4F00" w:rsidRDefault="001B4F00" w:rsidP="001B4F00">
      <w:pPr>
        <w:jc w:val="right"/>
        <w:rPr>
          <w:rFonts w:ascii="Cambria" w:eastAsia="Calibri" w:hAnsi="Cambria" w:cs="Times New Roman"/>
          <w:b/>
          <w:sz w:val="28"/>
          <w:szCs w:val="28"/>
        </w:rPr>
      </w:pPr>
    </w:p>
    <w:p w14:paraId="0733D584" w14:textId="77777777" w:rsidR="001B4F00" w:rsidRDefault="001B4F00" w:rsidP="001B4F00">
      <w:pPr>
        <w:jc w:val="both"/>
        <w:rPr>
          <w:rFonts w:ascii="Cambria" w:eastAsia="Calibri" w:hAnsi="Cambria" w:cs="Times New Roman"/>
          <w:bCs/>
        </w:rPr>
      </w:pPr>
      <w:r w:rsidRPr="00141441">
        <w:rPr>
          <w:rFonts w:ascii="Cambria" w:eastAsia="Calibri" w:hAnsi="Cambria" w:cs="Times New Roman"/>
          <w:bCs/>
        </w:rPr>
        <w:t xml:space="preserve">The Catholic Parliamentary </w:t>
      </w:r>
      <w:r>
        <w:rPr>
          <w:rFonts w:ascii="Cambria" w:eastAsia="Calibri" w:hAnsi="Cambria" w:cs="Times New Roman"/>
          <w:bCs/>
        </w:rPr>
        <w:t xml:space="preserve">Liaison Office (CPLO) is an office of the Southern African Bishop’s Conference. It is tasked with liaising between the Church and Parliament/Government, commenting on issue of public policy, and making submissions on legislation. </w:t>
      </w:r>
    </w:p>
    <w:p w14:paraId="66AEB8F7" w14:textId="77777777" w:rsidR="001B4F00" w:rsidRDefault="001B4F00" w:rsidP="001B4F00">
      <w:pPr>
        <w:jc w:val="both"/>
        <w:rPr>
          <w:rFonts w:ascii="Cambria" w:eastAsia="Calibri" w:hAnsi="Cambria" w:cs="Times New Roman"/>
          <w:bCs/>
        </w:rPr>
      </w:pPr>
    </w:p>
    <w:p w14:paraId="6A92E8DD" w14:textId="4FF8A220" w:rsidR="001B4F00" w:rsidRDefault="001B4F00" w:rsidP="001B4F00">
      <w:pPr>
        <w:jc w:val="both"/>
        <w:rPr>
          <w:rFonts w:ascii="Cambria" w:eastAsia="Calibri" w:hAnsi="Cambria" w:cs="Times New Roman"/>
          <w:bCs/>
        </w:rPr>
      </w:pPr>
      <w:r>
        <w:rPr>
          <w:rFonts w:ascii="Cambria" w:eastAsia="Calibri" w:hAnsi="Cambria" w:cs="Times New Roman"/>
          <w:bCs/>
        </w:rPr>
        <w:t>We</w:t>
      </w:r>
      <w:r w:rsidRPr="007662A3">
        <w:rPr>
          <w:rFonts w:ascii="Cambria" w:eastAsia="Calibri" w:hAnsi="Cambria" w:cs="Times New Roman"/>
          <w:bCs/>
        </w:rPr>
        <w:t xml:space="preserve"> welcome the opportunity to submit comments on the Draft Prevention of Illegal Eviction from and Unlawful Occupation of Land Amendment Bill</w:t>
      </w:r>
      <w:r>
        <w:rPr>
          <w:rFonts w:ascii="Cambria" w:eastAsia="Calibri" w:hAnsi="Cambria" w:cs="Times New Roman"/>
          <w:bCs/>
        </w:rPr>
        <w:t>. The C</w:t>
      </w:r>
      <w:r>
        <w:rPr>
          <w:rFonts w:ascii="Cambria" w:eastAsia="Calibri" w:hAnsi="Cambria" w:cs="Times New Roman"/>
          <w:bCs/>
        </w:rPr>
        <w:t>atholic Church</w:t>
      </w:r>
      <w:r>
        <w:rPr>
          <w:rFonts w:ascii="Cambria" w:eastAsia="Calibri" w:hAnsi="Cambria" w:cs="Times New Roman"/>
          <w:bCs/>
        </w:rPr>
        <w:t xml:space="preserve"> </w:t>
      </w:r>
      <w:r w:rsidRPr="00F4633B">
        <w:rPr>
          <w:rFonts w:ascii="Cambria" w:eastAsia="Calibri" w:hAnsi="Cambria" w:cs="Times New Roman"/>
          <w:bCs/>
        </w:rPr>
        <w:t xml:space="preserve">recognises the challenges faced by municipalities, landowners, and communities in addressing unlawful occupation and the provision of alternative accommodation. However, </w:t>
      </w:r>
      <w:r>
        <w:rPr>
          <w:rFonts w:ascii="Cambria" w:eastAsia="Calibri" w:hAnsi="Cambria" w:cs="Times New Roman"/>
          <w:bCs/>
        </w:rPr>
        <w:t>we are</w:t>
      </w:r>
      <w:r w:rsidRPr="00F4633B">
        <w:rPr>
          <w:rFonts w:ascii="Cambria" w:eastAsia="Calibri" w:hAnsi="Cambria" w:cs="Times New Roman"/>
          <w:bCs/>
        </w:rPr>
        <w:t xml:space="preserve"> concerned that several provisions of the Bill </w:t>
      </w:r>
      <w:r>
        <w:rPr>
          <w:rFonts w:ascii="Cambria" w:eastAsia="Calibri" w:hAnsi="Cambria" w:cs="Times New Roman"/>
          <w:bCs/>
        </w:rPr>
        <w:t xml:space="preserve">will </w:t>
      </w:r>
      <w:r w:rsidRPr="00F4633B">
        <w:rPr>
          <w:rFonts w:ascii="Cambria" w:eastAsia="Calibri" w:hAnsi="Cambria" w:cs="Times New Roman"/>
          <w:bCs/>
        </w:rPr>
        <w:t>undermin</w:t>
      </w:r>
      <w:r>
        <w:rPr>
          <w:rFonts w:ascii="Cambria" w:eastAsia="Calibri" w:hAnsi="Cambria" w:cs="Times New Roman"/>
          <w:bCs/>
        </w:rPr>
        <w:t xml:space="preserve">e </w:t>
      </w:r>
      <w:r w:rsidRPr="00F4633B">
        <w:rPr>
          <w:rFonts w:ascii="Cambria" w:eastAsia="Calibri" w:hAnsi="Cambria" w:cs="Times New Roman"/>
          <w:bCs/>
        </w:rPr>
        <w:t>protections that have been recognised through longstanding constitutional jurisprudence</w:t>
      </w:r>
      <w:r>
        <w:rPr>
          <w:rFonts w:ascii="Cambria" w:eastAsia="Calibri" w:hAnsi="Cambria" w:cs="Times New Roman"/>
          <w:bCs/>
        </w:rPr>
        <w:t>, to the grave disadvantage of vulnerable sectors of the population</w:t>
      </w:r>
      <w:r>
        <w:rPr>
          <w:rFonts w:ascii="Cambria" w:eastAsia="Calibri" w:hAnsi="Cambria" w:cs="Times New Roman"/>
          <w:bCs/>
        </w:rPr>
        <w:t xml:space="preserve">. </w:t>
      </w:r>
    </w:p>
    <w:p w14:paraId="41255D31" w14:textId="77777777" w:rsidR="001B4F00" w:rsidRDefault="001B4F00" w:rsidP="001B4F00">
      <w:pPr>
        <w:jc w:val="both"/>
        <w:rPr>
          <w:rFonts w:ascii="Cambria" w:eastAsia="Calibri" w:hAnsi="Cambria" w:cs="Times New Roman"/>
          <w:b/>
        </w:rPr>
      </w:pPr>
    </w:p>
    <w:p w14:paraId="0EAF238A" w14:textId="77777777" w:rsidR="001B4F00" w:rsidRDefault="001B4F00" w:rsidP="001B4F00">
      <w:pPr>
        <w:jc w:val="both"/>
        <w:rPr>
          <w:rFonts w:ascii="Cambria" w:eastAsia="Calibri" w:hAnsi="Cambria" w:cs="Times New Roman"/>
          <w:b/>
        </w:rPr>
      </w:pPr>
    </w:p>
    <w:p w14:paraId="20FC642B" w14:textId="5BE416FE" w:rsidR="001B4F00" w:rsidRDefault="001B4F00" w:rsidP="001B4F00">
      <w:pPr>
        <w:jc w:val="both"/>
        <w:rPr>
          <w:rFonts w:ascii="Cambria" w:eastAsia="Calibri" w:hAnsi="Cambria" w:cs="Times New Roman"/>
          <w:b/>
        </w:rPr>
      </w:pPr>
      <w:r>
        <w:rPr>
          <w:rFonts w:ascii="Cambria" w:eastAsia="Calibri" w:hAnsi="Cambria" w:cs="Times New Roman"/>
          <w:b/>
        </w:rPr>
        <w:t xml:space="preserve">2. </w:t>
      </w:r>
      <w:r>
        <w:rPr>
          <w:rFonts w:ascii="Cambria" w:eastAsia="Calibri" w:hAnsi="Cambria" w:cs="Times New Roman"/>
          <w:b/>
        </w:rPr>
        <w:t>Constitutional Framework</w:t>
      </w:r>
    </w:p>
    <w:p w14:paraId="7EC4FC08" w14:textId="77777777" w:rsidR="001B4F00" w:rsidRDefault="001B4F00" w:rsidP="001B4F00">
      <w:pPr>
        <w:rPr>
          <w:rFonts w:ascii="Cambria" w:hAnsi="Cambria"/>
        </w:rPr>
      </w:pPr>
    </w:p>
    <w:p w14:paraId="21677B69" w14:textId="1532B0DB" w:rsidR="001B4F00" w:rsidRPr="001B4F00" w:rsidRDefault="001B4F00" w:rsidP="001B4F00">
      <w:pPr>
        <w:jc w:val="both"/>
        <w:rPr>
          <w:rFonts w:ascii="Cambria" w:hAnsi="Cambria"/>
        </w:rPr>
      </w:pPr>
      <w:r w:rsidRPr="005A7CEA">
        <w:rPr>
          <w:rFonts w:ascii="Cambria" w:hAnsi="Cambria"/>
        </w:rPr>
        <w:t>The Constitution protects both property rights and the right to adequate housing.</w:t>
      </w:r>
      <w:r>
        <w:rPr>
          <w:rFonts w:ascii="Cambria" w:hAnsi="Cambria"/>
        </w:rPr>
        <w:t xml:space="preserve"> </w:t>
      </w:r>
      <w:r w:rsidRPr="001B4F00">
        <w:rPr>
          <w:rFonts w:ascii="Cambria" w:hAnsi="Cambria"/>
        </w:rPr>
        <w:t>S</w:t>
      </w:r>
      <w:r w:rsidRPr="001B4F00">
        <w:rPr>
          <w:rFonts w:ascii="Cambria" w:hAnsi="Cambria"/>
        </w:rPr>
        <w:t>ection 25(1) provides that:</w:t>
      </w:r>
    </w:p>
    <w:p w14:paraId="19F62DC2" w14:textId="77777777" w:rsidR="001B4F00" w:rsidRPr="001B4F00" w:rsidRDefault="001B4F00" w:rsidP="001B4F00">
      <w:pPr>
        <w:jc w:val="both"/>
        <w:rPr>
          <w:rFonts w:ascii="Cambria" w:hAnsi="Cambria"/>
          <w:i/>
          <w:iCs/>
        </w:rPr>
      </w:pPr>
      <w:r w:rsidRPr="001B4F00">
        <w:rPr>
          <w:rFonts w:ascii="Cambria" w:hAnsi="Cambria"/>
          <w:i/>
          <w:iCs/>
        </w:rPr>
        <w:t>"No one may be deprived of property except in terms of law of general application, and no law may permit arbitrary deprivation of property."</w:t>
      </w:r>
    </w:p>
    <w:p w14:paraId="14463150" w14:textId="27030DD5" w:rsidR="001B4F00" w:rsidRPr="001B4F00" w:rsidRDefault="001B4F00" w:rsidP="001B4F00">
      <w:pPr>
        <w:jc w:val="both"/>
        <w:rPr>
          <w:rFonts w:ascii="Cambria" w:hAnsi="Cambria"/>
        </w:rPr>
      </w:pPr>
      <w:r w:rsidRPr="001B4F00">
        <w:rPr>
          <w:rFonts w:ascii="Cambria" w:hAnsi="Cambria"/>
        </w:rPr>
        <w:t>This provision protects both public and private property from unlawful occupation and arbitrary deprivation. At the same time, section 26 recognises the right of everyone to have access to adequate housing</w:t>
      </w:r>
      <w:r>
        <w:rPr>
          <w:rFonts w:ascii="Cambria" w:hAnsi="Cambria"/>
        </w:rPr>
        <w:t>:</w:t>
      </w:r>
    </w:p>
    <w:p w14:paraId="6B2C55AA" w14:textId="77777777" w:rsidR="001B4F00" w:rsidRPr="001B4F00" w:rsidRDefault="001B4F00" w:rsidP="001B4F00">
      <w:pPr>
        <w:jc w:val="both"/>
        <w:rPr>
          <w:rFonts w:ascii="Cambria" w:hAnsi="Cambria"/>
          <w:i/>
          <w:iCs/>
        </w:rPr>
      </w:pPr>
      <w:r w:rsidRPr="001B4F00">
        <w:rPr>
          <w:rFonts w:ascii="Cambria" w:hAnsi="Cambria"/>
          <w:i/>
          <w:iCs/>
        </w:rPr>
        <w:t>"(1) Everyone has the right to have access to adequate housing.</w:t>
      </w:r>
    </w:p>
    <w:p w14:paraId="1EDF380C" w14:textId="77777777" w:rsidR="001B4F00" w:rsidRPr="001B4F00" w:rsidRDefault="001B4F00" w:rsidP="001B4F00">
      <w:pPr>
        <w:jc w:val="both"/>
        <w:rPr>
          <w:rFonts w:ascii="Cambria" w:hAnsi="Cambria"/>
          <w:i/>
          <w:iCs/>
        </w:rPr>
      </w:pPr>
      <w:r w:rsidRPr="001B4F00">
        <w:rPr>
          <w:rFonts w:ascii="Cambria" w:hAnsi="Cambria"/>
          <w:i/>
          <w:iCs/>
        </w:rPr>
        <w:t>(2) The state must take reasonable legislative and other measures, within its available resources, to achieve the progressive realisation of this right.</w:t>
      </w:r>
    </w:p>
    <w:p w14:paraId="7475DD60" w14:textId="77777777" w:rsidR="001B4F00" w:rsidRPr="001B4F00" w:rsidRDefault="001B4F00" w:rsidP="001B4F00">
      <w:pPr>
        <w:jc w:val="both"/>
        <w:rPr>
          <w:rFonts w:ascii="Cambria" w:hAnsi="Cambria"/>
          <w:i/>
          <w:iCs/>
        </w:rPr>
      </w:pPr>
      <w:r w:rsidRPr="001B4F00">
        <w:rPr>
          <w:rFonts w:ascii="Cambria" w:hAnsi="Cambria"/>
          <w:i/>
          <w:iCs/>
        </w:rPr>
        <w:t>(3) No one may be evicted from their home, or have their home demolished, without an order of court made after considering all the relevant circumstances. No legislation may permit arbitrary evictions."</w:t>
      </w:r>
    </w:p>
    <w:p w14:paraId="31C65C59" w14:textId="77777777" w:rsidR="001B4F00" w:rsidRDefault="001B4F00" w:rsidP="001B4F00">
      <w:pPr>
        <w:jc w:val="both"/>
        <w:rPr>
          <w:rFonts w:ascii="Cambria" w:hAnsi="Cambria"/>
        </w:rPr>
      </w:pPr>
    </w:p>
    <w:p w14:paraId="68BAB4D7" w14:textId="61045D75" w:rsidR="001B4F00" w:rsidRDefault="001B4F00" w:rsidP="001B4F00">
      <w:pPr>
        <w:jc w:val="both"/>
        <w:rPr>
          <w:rFonts w:ascii="Cambria" w:hAnsi="Cambria"/>
        </w:rPr>
      </w:pPr>
      <w:r w:rsidRPr="005A7CEA">
        <w:rPr>
          <w:rFonts w:ascii="Cambria" w:hAnsi="Cambria"/>
        </w:rPr>
        <w:t xml:space="preserve">Section 26(3) is the constitutional foundation of the Prevention of Illegal Eviction from and Unlawful Occupation of Land (PIE) Act and requires courts to ensure that every eviction </w:t>
      </w:r>
      <w:r w:rsidRPr="000C3992">
        <w:rPr>
          <w:rFonts w:ascii="Cambria" w:hAnsi="Cambria"/>
        </w:rPr>
        <w:t>is just and equitable</w:t>
      </w:r>
      <w:r w:rsidRPr="005A7CEA">
        <w:rPr>
          <w:rFonts w:ascii="Cambria" w:hAnsi="Cambria"/>
        </w:rPr>
        <w:t xml:space="preserve">. </w:t>
      </w:r>
      <w:r>
        <w:rPr>
          <w:rFonts w:ascii="Cambria" w:hAnsi="Cambria"/>
        </w:rPr>
        <w:t xml:space="preserve">The PIE Act has been an important piece of legislation in balancing the constitutional rights of landowners </w:t>
      </w:r>
      <w:r>
        <w:rPr>
          <w:rFonts w:ascii="Cambria" w:hAnsi="Cambria"/>
        </w:rPr>
        <w:t xml:space="preserve">with the rights of </w:t>
      </w:r>
      <w:r>
        <w:rPr>
          <w:rFonts w:ascii="Cambria" w:hAnsi="Cambria"/>
        </w:rPr>
        <w:t xml:space="preserve">those seeking access to adequate housing and protection </w:t>
      </w:r>
      <w:r>
        <w:rPr>
          <w:rFonts w:ascii="Cambria" w:hAnsi="Cambria"/>
        </w:rPr>
        <w:t>from</w:t>
      </w:r>
      <w:r>
        <w:rPr>
          <w:rFonts w:ascii="Cambria" w:hAnsi="Cambria"/>
        </w:rPr>
        <w:t xml:space="preserve"> unlawful evictions. However, the Draft PIE Bill will, in its current form, have the effect of severely curtailing the rights contained in section 26 and other related sections of the Constitution.</w:t>
      </w:r>
    </w:p>
    <w:p w14:paraId="6724803E" w14:textId="77777777" w:rsidR="001B4F00" w:rsidRDefault="001B4F00" w:rsidP="001B4F00">
      <w:pPr>
        <w:jc w:val="both"/>
        <w:rPr>
          <w:rFonts w:ascii="Cambria" w:hAnsi="Cambria"/>
        </w:rPr>
      </w:pPr>
    </w:p>
    <w:p w14:paraId="43325932" w14:textId="77777777" w:rsidR="001B4F00" w:rsidRDefault="001B4F00" w:rsidP="001B4F00">
      <w:pPr>
        <w:jc w:val="both"/>
        <w:rPr>
          <w:rFonts w:ascii="Cambria" w:hAnsi="Cambria"/>
        </w:rPr>
      </w:pPr>
    </w:p>
    <w:p w14:paraId="4D0B4208" w14:textId="46D7DB69" w:rsidR="001B4F00" w:rsidRPr="001B4F00" w:rsidRDefault="001B4F00" w:rsidP="001B4F00">
      <w:pPr>
        <w:jc w:val="both"/>
        <w:rPr>
          <w:rFonts w:ascii="Cambria" w:hAnsi="Cambria"/>
          <w:b/>
          <w:bCs/>
        </w:rPr>
      </w:pPr>
      <w:r w:rsidRPr="001B4F00">
        <w:rPr>
          <w:rFonts w:ascii="Cambria" w:hAnsi="Cambria"/>
          <w:b/>
          <w:bCs/>
        </w:rPr>
        <w:t>3. Specific Concerns</w:t>
      </w:r>
    </w:p>
    <w:p w14:paraId="12BD3628" w14:textId="77777777" w:rsidR="001B4F00" w:rsidRDefault="001B4F00" w:rsidP="001B4F00">
      <w:pPr>
        <w:jc w:val="both"/>
        <w:rPr>
          <w:rFonts w:ascii="Cambria" w:hAnsi="Cambria"/>
        </w:rPr>
      </w:pPr>
    </w:p>
    <w:p w14:paraId="5DB89DCE" w14:textId="77777777" w:rsidR="001B4F00" w:rsidRDefault="001B4F00" w:rsidP="001B4F00">
      <w:pPr>
        <w:jc w:val="both"/>
        <w:rPr>
          <w:rFonts w:ascii="Cambria" w:hAnsi="Cambria"/>
        </w:rPr>
      </w:pPr>
      <w:r>
        <w:rPr>
          <w:rFonts w:ascii="Cambria" w:hAnsi="Cambria"/>
        </w:rPr>
        <w:t>We are particularly concerned with the following:</w:t>
      </w:r>
    </w:p>
    <w:p w14:paraId="17519453" w14:textId="77777777" w:rsidR="001B4F00" w:rsidRDefault="001B4F00" w:rsidP="001B4F00">
      <w:pPr>
        <w:jc w:val="both"/>
        <w:rPr>
          <w:rFonts w:ascii="Cambria" w:hAnsi="Cambria"/>
        </w:rPr>
      </w:pPr>
    </w:p>
    <w:p w14:paraId="0E8AD1CA" w14:textId="04DEB6E9" w:rsidR="001B4F00" w:rsidRDefault="001B4F00" w:rsidP="001B4F00">
      <w:pPr>
        <w:jc w:val="both"/>
        <w:rPr>
          <w:rFonts w:ascii="Cambria" w:hAnsi="Cambria"/>
          <w:b/>
          <w:bCs/>
        </w:rPr>
      </w:pPr>
      <w:r>
        <w:rPr>
          <w:rFonts w:ascii="Cambria" w:hAnsi="Cambria"/>
          <w:b/>
          <w:bCs/>
        </w:rPr>
        <w:t xml:space="preserve">3.1. </w:t>
      </w:r>
      <w:r w:rsidRPr="00740461">
        <w:rPr>
          <w:rFonts w:ascii="Cambria" w:hAnsi="Cambria"/>
          <w:b/>
          <w:bCs/>
        </w:rPr>
        <w:t>Criminalisation of land occupation</w:t>
      </w:r>
    </w:p>
    <w:p w14:paraId="574E6AC1" w14:textId="77777777" w:rsidR="00970AB8" w:rsidRDefault="001B4F00" w:rsidP="001B4F00">
      <w:pPr>
        <w:jc w:val="both"/>
        <w:rPr>
          <w:rFonts w:ascii="Cambria" w:hAnsi="Cambria"/>
        </w:rPr>
      </w:pPr>
      <w:r>
        <w:rPr>
          <w:rFonts w:ascii="Cambria" w:hAnsi="Cambria"/>
        </w:rPr>
        <w:t>The propose</w:t>
      </w:r>
      <w:r>
        <w:rPr>
          <w:rFonts w:ascii="Cambria" w:hAnsi="Cambria"/>
        </w:rPr>
        <w:t>d new section 3(1)(b)</w:t>
      </w:r>
      <w:r w:rsidR="007018FD">
        <w:rPr>
          <w:rFonts w:ascii="Cambria" w:hAnsi="Cambria"/>
        </w:rPr>
        <w:t xml:space="preserve"> provides that </w:t>
      </w:r>
      <w:r w:rsidR="007018FD" w:rsidRPr="0096422D">
        <w:rPr>
          <w:rFonts w:ascii="Cambria" w:hAnsi="Cambria"/>
          <w:i/>
          <w:iCs/>
        </w:rPr>
        <w:t>“No person may incite, arrange, organise or permit any person to occupy land without the consent of the owner, organ of state or person in charge of that land.”</w:t>
      </w:r>
      <w:r w:rsidR="007018FD">
        <w:rPr>
          <w:rFonts w:ascii="Cambria" w:hAnsi="Cambria"/>
          <w:i/>
          <w:iCs/>
        </w:rPr>
        <w:t xml:space="preserve"> </w:t>
      </w:r>
      <w:r w:rsidR="007018FD">
        <w:rPr>
          <w:rFonts w:ascii="Cambria" w:hAnsi="Cambria"/>
        </w:rPr>
        <w:t xml:space="preserve">And the amended section 3(2) proposes a fine of up to </w:t>
      </w:r>
      <w:r w:rsidRPr="009211D2">
        <w:rPr>
          <w:rFonts w:ascii="Cambria" w:hAnsi="Cambria"/>
        </w:rPr>
        <w:t>R2-million fine or two years in prison for anyone who</w:t>
      </w:r>
      <w:r w:rsidR="007018FD">
        <w:rPr>
          <w:rFonts w:ascii="Cambria" w:hAnsi="Cambria"/>
        </w:rPr>
        <w:t xml:space="preserve"> contravenes s 3(1)(b).</w:t>
      </w:r>
    </w:p>
    <w:p w14:paraId="7E9EDFB6" w14:textId="55EF459D" w:rsidR="001B4F00" w:rsidRDefault="001B4F00" w:rsidP="001B4F00">
      <w:pPr>
        <w:jc w:val="both"/>
        <w:rPr>
          <w:rFonts w:ascii="Cambria" w:hAnsi="Cambria"/>
        </w:rPr>
      </w:pPr>
      <w:r>
        <w:rPr>
          <w:rFonts w:ascii="Cambria" w:hAnsi="Cambria"/>
        </w:rPr>
        <w:t xml:space="preserve">  </w:t>
      </w:r>
    </w:p>
    <w:p w14:paraId="3C98F171" w14:textId="54836DEF" w:rsidR="00970AB8" w:rsidRDefault="001B4F00" w:rsidP="001B4F00">
      <w:pPr>
        <w:jc w:val="both"/>
        <w:rPr>
          <w:rFonts w:ascii="Cambria" w:hAnsi="Cambria"/>
        </w:rPr>
      </w:pPr>
      <w:r>
        <w:rPr>
          <w:rFonts w:ascii="Cambria" w:hAnsi="Cambria"/>
        </w:rPr>
        <w:t xml:space="preserve">We are of the opinion that this provision is too broad and makes no distinction between those who operate with </w:t>
      </w:r>
      <w:r w:rsidR="00970AB8">
        <w:rPr>
          <w:rFonts w:ascii="Cambria" w:hAnsi="Cambria"/>
        </w:rPr>
        <w:t xml:space="preserve">clear </w:t>
      </w:r>
      <w:r>
        <w:rPr>
          <w:rFonts w:ascii="Cambria" w:hAnsi="Cambria"/>
        </w:rPr>
        <w:t>criminal intent (e.g. hijacking building</w:t>
      </w:r>
      <w:r w:rsidR="00970AB8">
        <w:rPr>
          <w:rFonts w:ascii="Cambria" w:hAnsi="Cambria"/>
        </w:rPr>
        <w:t>s or ‘selling’ land that they do not own</w:t>
      </w:r>
      <w:r>
        <w:rPr>
          <w:rFonts w:ascii="Cambria" w:hAnsi="Cambria"/>
        </w:rPr>
        <w:t>) and those occupiers who</w:t>
      </w:r>
      <w:r w:rsidR="00970AB8">
        <w:rPr>
          <w:rFonts w:ascii="Cambria" w:hAnsi="Cambria"/>
        </w:rPr>
        <w:t xml:space="preserve"> may be acting out of desperation or as part of a civic or political protest or campaign around landlessness or hom</w:t>
      </w:r>
      <w:r w:rsidR="00070606">
        <w:rPr>
          <w:rFonts w:ascii="Cambria" w:hAnsi="Cambria"/>
        </w:rPr>
        <w:t>e</w:t>
      </w:r>
      <w:r w:rsidR="00970AB8">
        <w:rPr>
          <w:rFonts w:ascii="Cambria" w:hAnsi="Cambria"/>
        </w:rPr>
        <w:t xml:space="preserve">lessness. </w:t>
      </w:r>
    </w:p>
    <w:p w14:paraId="2D374310" w14:textId="77777777" w:rsidR="00970AB8" w:rsidRDefault="00970AB8" w:rsidP="001B4F00">
      <w:pPr>
        <w:jc w:val="both"/>
        <w:rPr>
          <w:rFonts w:ascii="Cambria" w:hAnsi="Cambria"/>
        </w:rPr>
      </w:pPr>
    </w:p>
    <w:p w14:paraId="08E08794" w14:textId="7ADA4EAA" w:rsidR="001B4F00" w:rsidRDefault="001B4F00" w:rsidP="001B4F00">
      <w:pPr>
        <w:jc w:val="both"/>
        <w:rPr>
          <w:rFonts w:ascii="Cambria" w:hAnsi="Cambria"/>
        </w:rPr>
      </w:pPr>
      <w:r w:rsidRPr="000C3992">
        <w:rPr>
          <w:rFonts w:ascii="Cambria" w:hAnsi="Cambria"/>
          <w:b/>
          <w:bCs/>
        </w:rPr>
        <w:t xml:space="preserve">We </w:t>
      </w:r>
      <w:r>
        <w:rPr>
          <w:rFonts w:ascii="Cambria" w:hAnsi="Cambria"/>
          <w:b/>
          <w:bCs/>
        </w:rPr>
        <w:t>therefor</w:t>
      </w:r>
      <w:r w:rsidR="00970AB8">
        <w:rPr>
          <w:rFonts w:ascii="Cambria" w:hAnsi="Cambria"/>
          <w:b/>
          <w:bCs/>
        </w:rPr>
        <w:t>e</w:t>
      </w:r>
      <w:r>
        <w:rPr>
          <w:rFonts w:ascii="Cambria" w:hAnsi="Cambria"/>
          <w:b/>
          <w:bCs/>
        </w:rPr>
        <w:t xml:space="preserve"> </w:t>
      </w:r>
      <w:r w:rsidRPr="000C3992">
        <w:rPr>
          <w:rFonts w:ascii="Cambria" w:hAnsi="Cambria"/>
          <w:b/>
          <w:bCs/>
        </w:rPr>
        <w:t>propose</w:t>
      </w:r>
      <w:r>
        <w:rPr>
          <w:rFonts w:ascii="Cambria" w:hAnsi="Cambria"/>
        </w:rPr>
        <w:t xml:space="preserve"> that this provision </w:t>
      </w:r>
      <w:r w:rsidR="00970AB8">
        <w:rPr>
          <w:rFonts w:ascii="Cambria" w:hAnsi="Cambria"/>
        </w:rPr>
        <w:t>should</w:t>
      </w:r>
      <w:r>
        <w:rPr>
          <w:rFonts w:ascii="Cambria" w:hAnsi="Cambria"/>
        </w:rPr>
        <w:t xml:space="preserve"> make an unambiguous distinction between </w:t>
      </w:r>
      <w:r w:rsidR="00970AB8">
        <w:rPr>
          <w:rFonts w:ascii="Cambria" w:hAnsi="Cambria"/>
        </w:rPr>
        <w:t xml:space="preserve">unlawful </w:t>
      </w:r>
      <w:r w:rsidR="00070606">
        <w:rPr>
          <w:rFonts w:ascii="Cambria" w:hAnsi="Cambria"/>
        </w:rPr>
        <w:t xml:space="preserve">dealing with land </w:t>
      </w:r>
      <w:r w:rsidR="00970AB8">
        <w:rPr>
          <w:rFonts w:ascii="Cambria" w:hAnsi="Cambria"/>
        </w:rPr>
        <w:t>for p</w:t>
      </w:r>
      <w:r w:rsidR="00070606">
        <w:rPr>
          <w:rFonts w:ascii="Cambria" w:hAnsi="Cambria"/>
        </w:rPr>
        <w:t>rivate</w:t>
      </w:r>
      <w:r w:rsidR="00970AB8">
        <w:rPr>
          <w:rFonts w:ascii="Cambria" w:hAnsi="Cambria"/>
        </w:rPr>
        <w:t xml:space="preserve"> financial</w:t>
      </w:r>
      <w:r w:rsidR="00070606">
        <w:rPr>
          <w:rFonts w:ascii="Cambria" w:hAnsi="Cambria"/>
        </w:rPr>
        <w:t xml:space="preserve"> or material</w:t>
      </w:r>
      <w:r w:rsidR="00970AB8">
        <w:rPr>
          <w:rFonts w:ascii="Cambria" w:hAnsi="Cambria"/>
        </w:rPr>
        <w:t xml:space="preserve"> gain</w:t>
      </w:r>
      <w:r w:rsidR="00070606">
        <w:rPr>
          <w:rFonts w:ascii="Cambria" w:hAnsi="Cambria"/>
        </w:rPr>
        <w:t xml:space="preserve"> (as contemplated in s 3(1)(a))</w:t>
      </w:r>
      <w:r>
        <w:rPr>
          <w:rFonts w:ascii="Cambria" w:hAnsi="Cambria"/>
        </w:rPr>
        <w:t>,</w:t>
      </w:r>
      <w:r w:rsidR="00070606">
        <w:rPr>
          <w:rFonts w:ascii="Cambria" w:hAnsi="Cambria"/>
        </w:rPr>
        <w:t xml:space="preserve"> and spontaneous </w:t>
      </w:r>
      <w:r>
        <w:rPr>
          <w:rFonts w:ascii="Cambria" w:hAnsi="Cambria"/>
        </w:rPr>
        <w:t>land invasions, occupations and housing</w:t>
      </w:r>
      <w:r w:rsidR="00070606">
        <w:rPr>
          <w:rFonts w:ascii="Cambria" w:hAnsi="Cambria"/>
        </w:rPr>
        <w:t>-</w:t>
      </w:r>
      <w:r>
        <w:rPr>
          <w:rFonts w:ascii="Cambria" w:hAnsi="Cambria"/>
        </w:rPr>
        <w:t>related protests</w:t>
      </w:r>
      <w:r w:rsidR="00070606">
        <w:rPr>
          <w:rFonts w:ascii="Cambria" w:hAnsi="Cambria"/>
        </w:rPr>
        <w:t xml:space="preserve"> (which would fall under s 3(1)(b))</w:t>
      </w:r>
      <w:r>
        <w:rPr>
          <w:rFonts w:ascii="Cambria" w:hAnsi="Cambria"/>
        </w:rPr>
        <w:t>. The distinction should be</w:t>
      </w:r>
      <w:r w:rsidR="00070606">
        <w:rPr>
          <w:rFonts w:ascii="Cambria" w:hAnsi="Cambria"/>
        </w:rPr>
        <w:t xml:space="preserve"> based on the</w:t>
      </w:r>
      <w:r>
        <w:rPr>
          <w:rFonts w:ascii="Cambria" w:hAnsi="Cambria"/>
        </w:rPr>
        <w:t xml:space="preserve"> intent</w:t>
      </w:r>
      <w:r w:rsidR="00070606">
        <w:rPr>
          <w:rFonts w:ascii="Cambria" w:hAnsi="Cambria"/>
        </w:rPr>
        <w:t>ion behind the two types of dealings – one is in effect an economic crime while the other is likely to be a political act</w:t>
      </w:r>
      <w:r>
        <w:rPr>
          <w:rFonts w:ascii="Cambria" w:hAnsi="Cambria"/>
        </w:rPr>
        <w:t>.</w:t>
      </w:r>
    </w:p>
    <w:p w14:paraId="781247F0" w14:textId="77777777" w:rsidR="00070606" w:rsidRDefault="00070606" w:rsidP="001B4F00">
      <w:pPr>
        <w:jc w:val="both"/>
        <w:rPr>
          <w:rFonts w:ascii="Cambria" w:hAnsi="Cambria"/>
        </w:rPr>
      </w:pPr>
    </w:p>
    <w:p w14:paraId="28BDE846" w14:textId="125B885F" w:rsidR="001B4F00" w:rsidRDefault="00070606" w:rsidP="001B4F00">
      <w:pPr>
        <w:jc w:val="both"/>
        <w:rPr>
          <w:rFonts w:ascii="Cambria" w:hAnsi="Cambria"/>
          <w:b/>
          <w:bCs/>
        </w:rPr>
      </w:pPr>
      <w:r>
        <w:rPr>
          <w:rFonts w:ascii="Cambria" w:hAnsi="Cambria"/>
          <w:b/>
          <w:bCs/>
        </w:rPr>
        <w:t xml:space="preserve">3.2. </w:t>
      </w:r>
      <w:r w:rsidR="001B4F00">
        <w:rPr>
          <w:rFonts w:ascii="Cambria" w:hAnsi="Cambria"/>
          <w:b/>
          <w:bCs/>
        </w:rPr>
        <w:t>Alternative accommodation</w:t>
      </w:r>
    </w:p>
    <w:p w14:paraId="375A0B49" w14:textId="77777777" w:rsidR="003B2505" w:rsidRDefault="001B4F00" w:rsidP="001B4F00">
      <w:pPr>
        <w:jc w:val="both"/>
        <w:rPr>
          <w:rFonts w:ascii="Cambria" w:hAnsi="Cambria"/>
        </w:rPr>
      </w:pPr>
      <w:r>
        <w:rPr>
          <w:rFonts w:ascii="Cambria" w:hAnsi="Cambria"/>
        </w:rPr>
        <w:t xml:space="preserve">South African courts have consistently declared that where evictions would result in homelessness, the state is obliged to provide temporary alternative accommodation. </w:t>
      </w:r>
      <w:r w:rsidR="003B2505">
        <w:rPr>
          <w:rFonts w:ascii="Cambria" w:hAnsi="Cambria"/>
        </w:rPr>
        <w:t>The proposed new sub-s</w:t>
      </w:r>
      <w:r>
        <w:rPr>
          <w:rFonts w:ascii="Cambria" w:hAnsi="Cambria"/>
        </w:rPr>
        <w:t>ection</w:t>
      </w:r>
      <w:r w:rsidR="003B2505">
        <w:rPr>
          <w:rFonts w:ascii="Cambria" w:hAnsi="Cambria"/>
        </w:rPr>
        <w:t>s</w:t>
      </w:r>
      <w:r>
        <w:rPr>
          <w:rFonts w:ascii="Cambria" w:hAnsi="Cambria"/>
        </w:rPr>
        <w:t xml:space="preserve"> 4(13) and 4(14) </w:t>
      </w:r>
      <w:r w:rsidR="003B2505">
        <w:rPr>
          <w:rFonts w:ascii="Cambria" w:hAnsi="Cambria"/>
        </w:rPr>
        <w:t>are</w:t>
      </w:r>
      <w:r>
        <w:rPr>
          <w:rFonts w:ascii="Cambria" w:hAnsi="Cambria"/>
        </w:rPr>
        <w:t xml:space="preserve"> inconsistent with th</w:t>
      </w:r>
      <w:r w:rsidR="003B2505">
        <w:rPr>
          <w:rFonts w:ascii="Cambria" w:hAnsi="Cambria"/>
        </w:rPr>
        <w:t>is</w:t>
      </w:r>
      <w:r>
        <w:rPr>
          <w:rFonts w:ascii="Cambria" w:hAnsi="Cambria"/>
        </w:rPr>
        <w:t xml:space="preserve"> jurisprudence</w:t>
      </w:r>
      <w:r w:rsidR="003B2505">
        <w:rPr>
          <w:rFonts w:ascii="Cambria" w:hAnsi="Cambria"/>
        </w:rPr>
        <w:t>,</w:t>
      </w:r>
      <w:r>
        <w:rPr>
          <w:rFonts w:ascii="Cambria" w:hAnsi="Cambria"/>
        </w:rPr>
        <w:t xml:space="preserve"> as </w:t>
      </w:r>
      <w:r w:rsidR="003B2505">
        <w:rPr>
          <w:rFonts w:ascii="Cambria" w:hAnsi="Cambria"/>
        </w:rPr>
        <w:t>they</w:t>
      </w:r>
      <w:r>
        <w:rPr>
          <w:rFonts w:ascii="Cambria" w:hAnsi="Cambria"/>
        </w:rPr>
        <w:t xml:space="preserve"> seek to absolve the state from its obligation to provide temporary alternative accommodation.</w:t>
      </w:r>
    </w:p>
    <w:p w14:paraId="18847F0D" w14:textId="194641E1" w:rsidR="001B4F00" w:rsidRDefault="001B4F00" w:rsidP="001B4F00">
      <w:pPr>
        <w:jc w:val="both"/>
        <w:rPr>
          <w:rFonts w:ascii="Cambria" w:hAnsi="Cambria"/>
        </w:rPr>
      </w:pPr>
      <w:r>
        <w:rPr>
          <w:rFonts w:ascii="Cambria" w:hAnsi="Cambria"/>
        </w:rPr>
        <w:t xml:space="preserve"> </w:t>
      </w:r>
    </w:p>
    <w:p w14:paraId="2E0AE35A" w14:textId="288BE413" w:rsidR="001B4F00" w:rsidRDefault="001B4F00" w:rsidP="001B4F00">
      <w:pPr>
        <w:jc w:val="both"/>
        <w:rPr>
          <w:rFonts w:ascii="Cambria" w:hAnsi="Cambria"/>
        </w:rPr>
      </w:pPr>
      <w:r>
        <w:rPr>
          <w:rFonts w:ascii="Cambria" w:hAnsi="Cambria"/>
        </w:rPr>
        <w:t xml:space="preserve">Furthermore, the Bill does not provide any guidance as to what </w:t>
      </w:r>
      <w:r w:rsidRPr="005844C9">
        <w:rPr>
          <w:rFonts w:ascii="Cambria" w:hAnsi="Cambria"/>
        </w:rPr>
        <w:t>constitute</w:t>
      </w:r>
      <w:r w:rsidR="00C57F3D">
        <w:rPr>
          <w:rFonts w:ascii="Cambria" w:hAnsi="Cambria"/>
        </w:rPr>
        <w:t>s</w:t>
      </w:r>
      <w:r w:rsidRPr="005844C9">
        <w:rPr>
          <w:rFonts w:ascii="Cambria" w:hAnsi="Cambria"/>
        </w:rPr>
        <w:t xml:space="preserve"> a reasonable time period for providing </w:t>
      </w:r>
      <w:r w:rsidR="00C57F3D">
        <w:rPr>
          <w:rFonts w:ascii="Cambria" w:hAnsi="Cambria"/>
        </w:rPr>
        <w:t xml:space="preserve">‘temporary’ </w:t>
      </w:r>
      <w:r w:rsidRPr="005844C9">
        <w:rPr>
          <w:rFonts w:ascii="Cambria" w:hAnsi="Cambria"/>
        </w:rPr>
        <w:t>alternative accommodation</w:t>
      </w:r>
      <w:r w:rsidR="00C57F3D">
        <w:rPr>
          <w:rFonts w:ascii="Cambria" w:hAnsi="Cambria"/>
        </w:rPr>
        <w:t>,</w:t>
      </w:r>
      <w:r>
        <w:rPr>
          <w:rFonts w:ascii="Cambria" w:hAnsi="Cambria"/>
        </w:rPr>
        <w:t xml:space="preserve"> but </w:t>
      </w:r>
      <w:r w:rsidR="00C57F3D">
        <w:rPr>
          <w:rFonts w:ascii="Cambria" w:hAnsi="Cambria"/>
        </w:rPr>
        <w:t xml:space="preserve">rather </w:t>
      </w:r>
      <w:r>
        <w:rPr>
          <w:rFonts w:ascii="Cambria" w:hAnsi="Cambria"/>
        </w:rPr>
        <w:t>places the burden on the court to determine the time period. Such a determination would require knowledge of housing programmes, available housing rental stock,</w:t>
      </w:r>
      <w:r w:rsidR="00C57F3D">
        <w:rPr>
          <w:rFonts w:ascii="Cambria" w:hAnsi="Cambria"/>
        </w:rPr>
        <w:t xml:space="preserve"> municipal budgets,</w:t>
      </w:r>
      <w:r>
        <w:rPr>
          <w:rFonts w:ascii="Cambria" w:hAnsi="Cambria"/>
        </w:rPr>
        <w:t xml:space="preserve"> etc. Municipalities would be in a better position to make such determinations. The constitutional mandate for the realisation of the right to adequate housing rests with the state, and not the courts.</w:t>
      </w:r>
    </w:p>
    <w:p w14:paraId="7C78E3F1" w14:textId="77777777" w:rsidR="00C57F3D" w:rsidRDefault="00C57F3D" w:rsidP="001B4F00">
      <w:pPr>
        <w:jc w:val="both"/>
        <w:rPr>
          <w:rFonts w:ascii="Cambria" w:hAnsi="Cambria"/>
          <w:b/>
          <w:bCs/>
        </w:rPr>
      </w:pPr>
    </w:p>
    <w:p w14:paraId="72C0AE10" w14:textId="44A94D91" w:rsidR="001B4F00" w:rsidRDefault="001B4F00" w:rsidP="001B4F00">
      <w:pPr>
        <w:jc w:val="both"/>
        <w:rPr>
          <w:rFonts w:ascii="Cambria" w:hAnsi="Cambria"/>
        </w:rPr>
      </w:pPr>
      <w:r w:rsidRPr="000C3992">
        <w:rPr>
          <w:rFonts w:ascii="Cambria" w:hAnsi="Cambria"/>
          <w:b/>
          <w:bCs/>
        </w:rPr>
        <w:t>We therefore propose</w:t>
      </w:r>
      <w:r>
        <w:rPr>
          <w:rFonts w:ascii="Cambria" w:hAnsi="Cambria"/>
        </w:rPr>
        <w:t xml:space="preserve"> that </w:t>
      </w:r>
      <w:r w:rsidR="00C57F3D">
        <w:rPr>
          <w:rFonts w:ascii="Cambria" w:hAnsi="Cambria"/>
        </w:rPr>
        <w:t>the proposed new sub-</w:t>
      </w:r>
      <w:r>
        <w:rPr>
          <w:rFonts w:ascii="Cambria" w:hAnsi="Cambria"/>
        </w:rPr>
        <w:t>sections 4(13) and 4(14) should be removed from the Bill.</w:t>
      </w:r>
    </w:p>
    <w:p w14:paraId="251C8BB9" w14:textId="77777777" w:rsidR="00C57F3D" w:rsidRDefault="00C57F3D" w:rsidP="001B4F00">
      <w:pPr>
        <w:jc w:val="both"/>
        <w:rPr>
          <w:rFonts w:ascii="Cambria" w:hAnsi="Cambria"/>
          <w:b/>
          <w:bCs/>
        </w:rPr>
      </w:pPr>
    </w:p>
    <w:p w14:paraId="6910AEC1" w14:textId="77777777" w:rsidR="00C57F3D" w:rsidRDefault="00C57F3D" w:rsidP="001B4F00">
      <w:pPr>
        <w:jc w:val="both"/>
        <w:rPr>
          <w:rFonts w:ascii="Cambria" w:hAnsi="Cambria"/>
          <w:b/>
          <w:bCs/>
        </w:rPr>
      </w:pPr>
    </w:p>
    <w:p w14:paraId="64E288C2" w14:textId="51F217B7" w:rsidR="001B4F00" w:rsidRDefault="00C57F3D" w:rsidP="001B4F00">
      <w:pPr>
        <w:jc w:val="both"/>
        <w:rPr>
          <w:rFonts w:ascii="Cambria" w:hAnsi="Cambria"/>
          <w:b/>
          <w:bCs/>
        </w:rPr>
      </w:pPr>
      <w:r>
        <w:rPr>
          <w:rFonts w:ascii="Cambria" w:hAnsi="Cambria"/>
          <w:b/>
          <w:bCs/>
        </w:rPr>
        <w:t xml:space="preserve">4. </w:t>
      </w:r>
      <w:r w:rsidR="001B4F00">
        <w:rPr>
          <w:rFonts w:ascii="Cambria" w:hAnsi="Cambria"/>
          <w:b/>
          <w:bCs/>
        </w:rPr>
        <w:t>Conclusion</w:t>
      </w:r>
    </w:p>
    <w:p w14:paraId="2DFF9A88" w14:textId="77777777" w:rsidR="00C57F3D" w:rsidRDefault="00C57F3D" w:rsidP="001B4F00">
      <w:pPr>
        <w:jc w:val="both"/>
        <w:rPr>
          <w:rFonts w:ascii="Cambria" w:hAnsi="Cambria"/>
        </w:rPr>
      </w:pPr>
    </w:p>
    <w:p w14:paraId="1F4171DC" w14:textId="4FEAD894" w:rsidR="001B4F00" w:rsidRDefault="00C57F3D" w:rsidP="001B4F00">
      <w:pPr>
        <w:jc w:val="both"/>
        <w:rPr>
          <w:rFonts w:ascii="Cambria" w:hAnsi="Cambria"/>
        </w:rPr>
      </w:pPr>
      <w:r>
        <w:rPr>
          <w:rFonts w:ascii="Cambria" w:hAnsi="Cambria"/>
        </w:rPr>
        <w:t>We</w:t>
      </w:r>
      <w:r w:rsidR="001B4F00">
        <w:rPr>
          <w:rFonts w:ascii="Cambria" w:hAnsi="Cambria"/>
        </w:rPr>
        <w:t xml:space="preserve"> recognise the immense financial and practical pressure municipalities, landowners and communities must endure in responding to balancing the progressive right to adequate housing and the right of landowners.</w:t>
      </w:r>
      <w:r>
        <w:rPr>
          <w:rFonts w:ascii="Cambria" w:hAnsi="Cambria"/>
        </w:rPr>
        <w:t xml:space="preserve"> But the answer is n</w:t>
      </w:r>
      <w:r w:rsidR="001B4F00">
        <w:rPr>
          <w:rFonts w:ascii="Cambria" w:hAnsi="Cambria"/>
        </w:rPr>
        <w:t>ot</w:t>
      </w:r>
      <w:r>
        <w:rPr>
          <w:rFonts w:ascii="Cambria" w:hAnsi="Cambria"/>
        </w:rPr>
        <w:t xml:space="preserve"> to</w:t>
      </w:r>
      <w:r w:rsidR="001B4F00">
        <w:rPr>
          <w:rFonts w:ascii="Cambria" w:hAnsi="Cambria"/>
        </w:rPr>
        <w:t xml:space="preserve"> undermine Section 26 of the Constitution, </w:t>
      </w:r>
      <w:r>
        <w:rPr>
          <w:rFonts w:ascii="Cambria" w:hAnsi="Cambria"/>
        </w:rPr>
        <w:t>or to</w:t>
      </w:r>
      <w:r w:rsidR="001B4F00">
        <w:rPr>
          <w:rFonts w:ascii="Cambria" w:hAnsi="Cambria"/>
        </w:rPr>
        <w:t xml:space="preserve"> diminish the safeguards that have been established through years of housing jurisprudence</w:t>
      </w:r>
      <w:r>
        <w:rPr>
          <w:rFonts w:ascii="Cambria" w:hAnsi="Cambria"/>
        </w:rPr>
        <w:t>,</w:t>
      </w:r>
      <w:r w:rsidR="001B4F00">
        <w:rPr>
          <w:rFonts w:ascii="Cambria" w:hAnsi="Cambria"/>
        </w:rPr>
        <w:t xml:space="preserve"> without addressing the root causes of ongoing housing crisis and </w:t>
      </w:r>
      <w:r>
        <w:rPr>
          <w:rFonts w:ascii="Cambria" w:hAnsi="Cambria"/>
        </w:rPr>
        <w:t xml:space="preserve">the </w:t>
      </w:r>
      <w:r w:rsidR="001B4F00">
        <w:rPr>
          <w:rFonts w:ascii="Cambria" w:hAnsi="Cambria"/>
        </w:rPr>
        <w:t>historical deprivation of lan</w:t>
      </w:r>
      <w:r>
        <w:rPr>
          <w:rFonts w:ascii="Cambria" w:hAnsi="Cambria"/>
        </w:rPr>
        <w:t>d</w:t>
      </w:r>
      <w:r w:rsidR="001B4F00">
        <w:rPr>
          <w:rFonts w:ascii="Cambria" w:hAnsi="Cambria"/>
        </w:rPr>
        <w:t>.</w:t>
      </w:r>
      <w:r>
        <w:rPr>
          <w:rFonts w:ascii="Cambria" w:hAnsi="Cambria"/>
        </w:rPr>
        <w:t xml:space="preserve"> </w:t>
      </w:r>
    </w:p>
    <w:p w14:paraId="75C2AC73" w14:textId="77777777" w:rsidR="00C57F3D" w:rsidRDefault="00C57F3D" w:rsidP="001B4F00">
      <w:pPr>
        <w:jc w:val="both"/>
        <w:rPr>
          <w:rFonts w:ascii="Cambria" w:hAnsi="Cambria"/>
        </w:rPr>
      </w:pPr>
    </w:p>
    <w:p w14:paraId="2CB9B75A" w14:textId="77777777" w:rsidR="001B4F00" w:rsidRDefault="001B4F00" w:rsidP="001B4F00">
      <w:pPr>
        <w:jc w:val="both"/>
        <w:rPr>
          <w:rFonts w:ascii="Cambria" w:hAnsi="Cambria"/>
        </w:rPr>
      </w:pPr>
      <w:r w:rsidRPr="00B3778B">
        <w:rPr>
          <w:rFonts w:ascii="Cambria" w:hAnsi="Cambria"/>
        </w:rPr>
        <w:t>We wish the Department well in its</w:t>
      </w:r>
      <w:r>
        <w:rPr>
          <w:rFonts w:ascii="Cambria" w:hAnsi="Cambria"/>
        </w:rPr>
        <w:t xml:space="preserve"> ongoing deliberations on the Draft Bill.</w:t>
      </w:r>
    </w:p>
    <w:p w14:paraId="6BBBB489" w14:textId="77777777" w:rsidR="001B4F00" w:rsidRDefault="001B4F00" w:rsidP="001B4F00">
      <w:pPr>
        <w:tabs>
          <w:tab w:val="left" w:pos="8931"/>
        </w:tabs>
        <w:jc w:val="both"/>
        <w:rPr>
          <w:rFonts w:ascii="Cambria" w:hAnsi="Cambria"/>
          <w:b/>
          <w:bCs/>
          <w:u w:val="single"/>
        </w:rPr>
      </w:pPr>
      <w:r>
        <w:rPr>
          <w:rFonts w:ascii="Cambria" w:hAnsi="Cambria"/>
          <w:b/>
          <w:bCs/>
          <w:u w:val="single"/>
        </w:rPr>
        <w:tab/>
      </w:r>
    </w:p>
    <w:p w14:paraId="1B09D87E" w14:textId="77777777" w:rsidR="001B4F00" w:rsidRPr="00B3778B" w:rsidRDefault="001B4F00" w:rsidP="001B4F00">
      <w:pPr>
        <w:tabs>
          <w:tab w:val="left" w:pos="8931"/>
        </w:tabs>
        <w:jc w:val="both"/>
        <w:rPr>
          <w:rFonts w:ascii="Cambria" w:hAnsi="Cambria"/>
        </w:rPr>
      </w:pPr>
      <w:r w:rsidRPr="00B3778B">
        <w:rPr>
          <w:rFonts w:ascii="Cambria" w:hAnsi="Cambria"/>
        </w:rPr>
        <w:t>For further information, please contact:</w:t>
      </w:r>
    </w:p>
    <w:p w14:paraId="63C322D4" w14:textId="77777777" w:rsidR="001B4F00" w:rsidRPr="00C57F3D" w:rsidRDefault="001B4F00" w:rsidP="001B4F00">
      <w:pPr>
        <w:tabs>
          <w:tab w:val="left" w:pos="8931"/>
        </w:tabs>
        <w:jc w:val="both"/>
        <w:rPr>
          <w:rFonts w:ascii="Cambria" w:hAnsi="Cambria"/>
          <w:b/>
          <w:bCs/>
        </w:rPr>
      </w:pPr>
      <w:r w:rsidRPr="00C57F3D">
        <w:rPr>
          <w:rFonts w:ascii="Cambria" w:hAnsi="Cambria"/>
          <w:b/>
          <w:bCs/>
        </w:rPr>
        <w:t>Kenny Pasensie</w:t>
      </w:r>
    </w:p>
    <w:p w14:paraId="501BFCAD" w14:textId="77777777" w:rsidR="001B4F00" w:rsidRPr="00C57F3D" w:rsidRDefault="001B4F00" w:rsidP="001B4F00">
      <w:pPr>
        <w:tabs>
          <w:tab w:val="left" w:pos="8931"/>
        </w:tabs>
        <w:jc w:val="both"/>
        <w:rPr>
          <w:rFonts w:ascii="Cambria" w:hAnsi="Cambria"/>
          <w:b/>
          <w:bCs/>
        </w:rPr>
      </w:pPr>
      <w:r w:rsidRPr="00C57F3D">
        <w:rPr>
          <w:rFonts w:ascii="Cambria" w:hAnsi="Cambria"/>
          <w:b/>
          <w:bCs/>
        </w:rPr>
        <w:t>Catholic Parliamentary Liaison Office</w:t>
      </w:r>
    </w:p>
    <w:p w14:paraId="02A69F74" w14:textId="61AA7BFC" w:rsidR="001B4F00" w:rsidRPr="00C57F3D" w:rsidRDefault="001B4F00" w:rsidP="00C57F3D">
      <w:pPr>
        <w:tabs>
          <w:tab w:val="left" w:pos="8931"/>
        </w:tabs>
        <w:jc w:val="both"/>
        <w:rPr>
          <w:rFonts w:ascii="Cambria" w:hAnsi="Cambria"/>
        </w:rPr>
      </w:pPr>
      <w:r w:rsidRPr="00B3778B">
        <w:rPr>
          <w:rFonts w:ascii="Cambria" w:hAnsi="Cambria"/>
        </w:rPr>
        <w:t>kenny@cplo.org.z</w:t>
      </w:r>
      <w:r w:rsidR="00C57F3D">
        <w:rPr>
          <w:rFonts w:ascii="Cambria" w:hAnsi="Cambria"/>
        </w:rPr>
        <w:t>a</w:t>
      </w:r>
    </w:p>
    <w:sectPr w:rsidR="001B4F00" w:rsidRPr="00C57F3D" w:rsidSect="001B4F00">
      <w:headerReference w:type="first" r:id="rId4"/>
      <w:footerReference w:type="first" r:id="rId5"/>
      <w:pgSz w:w="11900" w:h="16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altName w:val="Palatino Linotype"/>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EC59" w14:textId="77777777" w:rsidR="001B4F00" w:rsidRDefault="001B4F00">
    <w:pPr>
      <w:pStyle w:val="Footer"/>
    </w:pPr>
    <w:r>
      <w:rPr>
        <w:noProof/>
      </w:rPr>
      <w:drawing>
        <wp:anchor distT="0" distB="0" distL="114300" distR="114300" simplePos="0" relativeHeight="251659264" behindDoc="0" locked="0" layoutInCell="1" allowOverlap="1" wp14:anchorId="698F9063" wp14:editId="43A3227F">
          <wp:simplePos x="0" y="0"/>
          <wp:positionH relativeFrom="column">
            <wp:posOffset>-472440</wp:posOffset>
          </wp:positionH>
          <wp:positionV relativeFrom="page">
            <wp:posOffset>9815195</wp:posOffset>
          </wp:positionV>
          <wp:extent cx="6645600" cy="8280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plo letterhead footer 2026 larger3.jpg"/>
                  <pic:cNvPicPr/>
                </pic:nvPicPr>
                <pic:blipFill>
                  <a:blip r:embed="rId1">
                    <a:extLst>
                      <a:ext uri="{28A0092B-C50C-407E-A947-70E740481C1C}">
                        <a14:useLocalDpi xmlns:a14="http://schemas.microsoft.com/office/drawing/2010/main" val="0"/>
                      </a:ext>
                    </a:extLst>
                  </a:blip>
                  <a:stretch>
                    <a:fillRect/>
                  </a:stretch>
                </pic:blipFill>
                <pic:spPr>
                  <a:xfrm>
                    <a:off x="0" y="0"/>
                    <a:ext cx="6645600" cy="82800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5BF2" w14:textId="77777777" w:rsidR="001B4F00" w:rsidRDefault="001B4F00">
    <w:pPr>
      <w:pStyle w:val="Header"/>
    </w:pPr>
    <w:r>
      <w:rPr>
        <w:noProof/>
      </w:rPr>
      <w:drawing>
        <wp:anchor distT="0" distB="0" distL="114300" distR="114300" simplePos="0" relativeHeight="251659264" behindDoc="0" locked="0" layoutInCell="1" allowOverlap="1" wp14:anchorId="5E787571" wp14:editId="4E3E68AF">
          <wp:simplePos x="0" y="0"/>
          <wp:positionH relativeFrom="column">
            <wp:posOffset>-546100</wp:posOffset>
          </wp:positionH>
          <wp:positionV relativeFrom="page">
            <wp:posOffset>321945</wp:posOffset>
          </wp:positionV>
          <wp:extent cx="6818400" cy="892800"/>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plo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6818400" cy="8928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F00"/>
    <w:rsid w:val="000222EA"/>
    <w:rsid w:val="00070606"/>
    <w:rsid w:val="00101B83"/>
    <w:rsid w:val="001B4F00"/>
    <w:rsid w:val="003B2505"/>
    <w:rsid w:val="007018FD"/>
    <w:rsid w:val="00970AB8"/>
    <w:rsid w:val="00C4158E"/>
    <w:rsid w:val="00C57F3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CE047"/>
  <w15:chartTrackingRefBased/>
  <w15:docId w15:val="{6E8C5CE1-92A2-4B1F-AC32-80CEB8C77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F00"/>
    <w:pPr>
      <w:spacing w:after="0" w:line="240" w:lineRule="auto"/>
    </w:pPr>
    <w:rPr>
      <w:kern w:val="0"/>
      <w:lang w:val="en-GB"/>
      <w14:ligatures w14:val="none"/>
    </w:rPr>
  </w:style>
  <w:style w:type="paragraph" w:styleId="Heading1">
    <w:name w:val="heading 1"/>
    <w:basedOn w:val="Normal"/>
    <w:next w:val="Normal"/>
    <w:link w:val="Heading1Char"/>
    <w:uiPriority w:val="9"/>
    <w:qFormat/>
    <w:rsid w:val="001B4F0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ZA"/>
      <w14:ligatures w14:val="standardContextual"/>
    </w:rPr>
  </w:style>
  <w:style w:type="paragraph" w:styleId="Heading2">
    <w:name w:val="heading 2"/>
    <w:basedOn w:val="Normal"/>
    <w:next w:val="Normal"/>
    <w:link w:val="Heading2Char"/>
    <w:uiPriority w:val="9"/>
    <w:semiHidden/>
    <w:unhideWhenUsed/>
    <w:qFormat/>
    <w:rsid w:val="001B4F0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ZA"/>
      <w14:ligatures w14:val="standardContextual"/>
    </w:rPr>
  </w:style>
  <w:style w:type="paragraph" w:styleId="Heading3">
    <w:name w:val="heading 3"/>
    <w:basedOn w:val="Normal"/>
    <w:next w:val="Normal"/>
    <w:link w:val="Heading3Char"/>
    <w:uiPriority w:val="9"/>
    <w:semiHidden/>
    <w:unhideWhenUsed/>
    <w:qFormat/>
    <w:rsid w:val="001B4F00"/>
    <w:pPr>
      <w:keepNext/>
      <w:keepLines/>
      <w:spacing w:before="160" w:after="80" w:line="278" w:lineRule="auto"/>
      <w:outlineLvl w:val="2"/>
    </w:pPr>
    <w:rPr>
      <w:rFonts w:eastAsiaTheme="majorEastAsia" w:cstheme="majorBidi"/>
      <w:color w:val="0F4761" w:themeColor="accent1" w:themeShade="BF"/>
      <w:kern w:val="2"/>
      <w:sz w:val="28"/>
      <w:szCs w:val="28"/>
      <w:lang w:val="en-ZA"/>
      <w14:ligatures w14:val="standardContextual"/>
    </w:rPr>
  </w:style>
  <w:style w:type="paragraph" w:styleId="Heading4">
    <w:name w:val="heading 4"/>
    <w:basedOn w:val="Normal"/>
    <w:next w:val="Normal"/>
    <w:link w:val="Heading4Char"/>
    <w:uiPriority w:val="9"/>
    <w:semiHidden/>
    <w:unhideWhenUsed/>
    <w:qFormat/>
    <w:rsid w:val="001B4F00"/>
    <w:pPr>
      <w:keepNext/>
      <w:keepLines/>
      <w:spacing w:before="80" w:after="40" w:line="278" w:lineRule="auto"/>
      <w:outlineLvl w:val="3"/>
    </w:pPr>
    <w:rPr>
      <w:rFonts w:eastAsiaTheme="majorEastAsia" w:cstheme="majorBidi"/>
      <w:i/>
      <w:iCs/>
      <w:color w:val="0F4761" w:themeColor="accent1" w:themeShade="BF"/>
      <w:kern w:val="2"/>
      <w:lang w:val="en-ZA"/>
      <w14:ligatures w14:val="standardContextual"/>
    </w:rPr>
  </w:style>
  <w:style w:type="paragraph" w:styleId="Heading5">
    <w:name w:val="heading 5"/>
    <w:basedOn w:val="Normal"/>
    <w:next w:val="Normal"/>
    <w:link w:val="Heading5Char"/>
    <w:uiPriority w:val="9"/>
    <w:semiHidden/>
    <w:unhideWhenUsed/>
    <w:qFormat/>
    <w:rsid w:val="001B4F00"/>
    <w:pPr>
      <w:keepNext/>
      <w:keepLines/>
      <w:spacing w:before="80" w:after="40" w:line="278" w:lineRule="auto"/>
      <w:outlineLvl w:val="4"/>
    </w:pPr>
    <w:rPr>
      <w:rFonts w:eastAsiaTheme="majorEastAsia" w:cstheme="majorBidi"/>
      <w:color w:val="0F4761" w:themeColor="accent1" w:themeShade="BF"/>
      <w:kern w:val="2"/>
      <w:lang w:val="en-ZA"/>
      <w14:ligatures w14:val="standardContextual"/>
    </w:rPr>
  </w:style>
  <w:style w:type="paragraph" w:styleId="Heading6">
    <w:name w:val="heading 6"/>
    <w:basedOn w:val="Normal"/>
    <w:next w:val="Normal"/>
    <w:link w:val="Heading6Char"/>
    <w:uiPriority w:val="9"/>
    <w:semiHidden/>
    <w:unhideWhenUsed/>
    <w:qFormat/>
    <w:rsid w:val="001B4F00"/>
    <w:pPr>
      <w:keepNext/>
      <w:keepLines/>
      <w:spacing w:before="40" w:line="278" w:lineRule="auto"/>
      <w:outlineLvl w:val="5"/>
    </w:pPr>
    <w:rPr>
      <w:rFonts w:eastAsiaTheme="majorEastAsia" w:cstheme="majorBidi"/>
      <w:i/>
      <w:iCs/>
      <w:color w:val="595959" w:themeColor="text1" w:themeTint="A6"/>
      <w:kern w:val="2"/>
      <w:lang w:val="en-ZA"/>
      <w14:ligatures w14:val="standardContextual"/>
    </w:rPr>
  </w:style>
  <w:style w:type="paragraph" w:styleId="Heading7">
    <w:name w:val="heading 7"/>
    <w:basedOn w:val="Normal"/>
    <w:next w:val="Normal"/>
    <w:link w:val="Heading7Char"/>
    <w:uiPriority w:val="9"/>
    <w:semiHidden/>
    <w:unhideWhenUsed/>
    <w:qFormat/>
    <w:rsid w:val="001B4F00"/>
    <w:pPr>
      <w:keepNext/>
      <w:keepLines/>
      <w:spacing w:before="40" w:line="278" w:lineRule="auto"/>
      <w:outlineLvl w:val="6"/>
    </w:pPr>
    <w:rPr>
      <w:rFonts w:eastAsiaTheme="majorEastAsia" w:cstheme="majorBidi"/>
      <w:color w:val="595959" w:themeColor="text1" w:themeTint="A6"/>
      <w:kern w:val="2"/>
      <w:lang w:val="en-ZA"/>
      <w14:ligatures w14:val="standardContextual"/>
    </w:rPr>
  </w:style>
  <w:style w:type="paragraph" w:styleId="Heading8">
    <w:name w:val="heading 8"/>
    <w:basedOn w:val="Normal"/>
    <w:next w:val="Normal"/>
    <w:link w:val="Heading8Char"/>
    <w:uiPriority w:val="9"/>
    <w:semiHidden/>
    <w:unhideWhenUsed/>
    <w:qFormat/>
    <w:rsid w:val="001B4F00"/>
    <w:pPr>
      <w:keepNext/>
      <w:keepLines/>
      <w:spacing w:line="278" w:lineRule="auto"/>
      <w:outlineLvl w:val="7"/>
    </w:pPr>
    <w:rPr>
      <w:rFonts w:eastAsiaTheme="majorEastAsia" w:cstheme="majorBidi"/>
      <w:i/>
      <w:iCs/>
      <w:color w:val="272727" w:themeColor="text1" w:themeTint="D8"/>
      <w:kern w:val="2"/>
      <w:lang w:val="en-ZA"/>
      <w14:ligatures w14:val="standardContextual"/>
    </w:rPr>
  </w:style>
  <w:style w:type="paragraph" w:styleId="Heading9">
    <w:name w:val="heading 9"/>
    <w:basedOn w:val="Normal"/>
    <w:next w:val="Normal"/>
    <w:link w:val="Heading9Char"/>
    <w:uiPriority w:val="9"/>
    <w:semiHidden/>
    <w:unhideWhenUsed/>
    <w:qFormat/>
    <w:rsid w:val="001B4F00"/>
    <w:pPr>
      <w:keepNext/>
      <w:keepLines/>
      <w:spacing w:line="278" w:lineRule="auto"/>
      <w:outlineLvl w:val="8"/>
    </w:pPr>
    <w:rPr>
      <w:rFonts w:eastAsiaTheme="majorEastAsia" w:cstheme="majorBidi"/>
      <w:color w:val="272727" w:themeColor="text1" w:themeTint="D8"/>
      <w:kern w:val="2"/>
      <w:lang w:val="en-Z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F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F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F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F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F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F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F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F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F00"/>
    <w:rPr>
      <w:rFonts w:eastAsiaTheme="majorEastAsia" w:cstheme="majorBidi"/>
      <w:color w:val="272727" w:themeColor="text1" w:themeTint="D8"/>
    </w:rPr>
  </w:style>
  <w:style w:type="paragraph" w:styleId="Title">
    <w:name w:val="Title"/>
    <w:basedOn w:val="Normal"/>
    <w:next w:val="Normal"/>
    <w:link w:val="TitleChar"/>
    <w:uiPriority w:val="10"/>
    <w:qFormat/>
    <w:rsid w:val="001B4F00"/>
    <w:pPr>
      <w:spacing w:after="80"/>
      <w:contextualSpacing/>
    </w:pPr>
    <w:rPr>
      <w:rFonts w:asciiTheme="majorHAnsi" w:eastAsiaTheme="majorEastAsia" w:hAnsiTheme="majorHAnsi" w:cstheme="majorBidi"/>
      <w:spacing w:val="-10"/>
      <w:kern w:val="28"/>
      <w:sz w:val="56"/>
      <w:szCs w:val="56"/>
      <w:lang w:val="en-ZA"/>
      <w14:ligatures w14:val="standardContextual"/>
    </w:rPr>
  </w:style>
  <w:style w:type="character" w:customStyle="1" w:styleId="TitleChar">
    <w:name w:val="Title Char"/>
    <w:basedOn w:val="DefaultParagraphFont"/>
    <w:link w:val="Title"/>
    <w:uiPriority w:val="10"/>
    <w:rsid w:val="001B4F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F00"/>
    <w:pPr>
      <w:numPr>
        <w:ilvl w:val="1"/>
      </w:numPr>
      <w:spacing w:after="160" w:line="278" w:lineRule="auto"/>
    </w:pPr>
    <w:rPr>
      <w:rFonts w:eastAsiaTheme="majorEastAsia" w:cstheme="majorBidi"/>
      <w:color w:val="595959" w:themeColor="text1" w:themeTint="A6"/>
      <w:spacing w:val="15"/>
      <w:kern w:val="2"/>
      <w:sz w:val="28"/>
      <w:szCs w:val="28"/>
      <w:lang w:val="en-ZA"/>
      <w14:ligatures w14:val="standardContextual"/>
    </w:rPr>
  </w:style>
  <w:style w:type="character" w:customStyle="1" w:styleId="SubtitleChar">
    <w:name w:val="Subtitle Char"/>
    <w:basedOn w:val="DefaultParagraphFont"/>
    <w:link w:val="Subtitle"/>
    <w:uiPriority w:val="11"/>
    <w:rsid w:val="001B4F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F00"/>
    <w:pPr>
      <w:spacing w:before="160" w:after="160" w:line="278" w:lineRule="auto"/>
      <w:jc w:val="center"/>
    </w:pPr>
    <w:rPr>
      <w:i/>
      <w:iCs/>
      <w:color w:val="404040" w:themeColor="text1" w:themeTint="BF"/>
      <w:kern w:val="2"/>
      <w:lang w:val="en-ZA"/>
      <w14:ligatures w14:val="standardContextual"/>
    </w:rPr>
  </w:style>
  <w:style w:type="character" w:customStyle="1" w:styleId="QuoteChar">
    <w:name w:val="Quote Char"/>
    <w:basedOn w:val="DefaultParagraphFont"/>
    <w:link w:val="Quote"/>
    <w:uiPriority w:val="29"/>
    <w:rsid w:val="001B4F00"/>
    <w:rPr>
      <w:i/>
      <w:iCs/>
      <w:color w:val="404040" w:themeColor="text1" w:themeTint="BF"/>
    </w:rPr>
  </w:style>
  <w:style w:type="paragraph" w:styleId="ListParagraph">
    <w:name w:val="List Paragraph"/>
    <w:basedOn w:val="Normal"/>
    <w:uiPriority w:val="34"/>
    <w:qFormat/>
    <w:rsid w:val="001B4F00"/>
    <w:pPr>
      <w:spacing w:after="160" w:line="278" w:lineRule="auto"/>
      <w:ind w:left="720"/>
      <w:contextualSpacing/>
    </w:pPr>
    <w:rPr>
      <w:kern w:val="2"/>
      <w:lang w:val="en-ZA"/>
      <w14:ligatures w14:val="standardContextual"/>
    </w:rPr>
  </w:style>
  <w:style w:type="character" w:styleId="IntenseEmphasis">
    <w:name w:val="Intense Emphasis"/>
    <w:basedOn w:val="DefaultParagraphFont"/>
    <w:uiPriority w:val="21"/>
    <w:qFormat/>
    <w:rsid w:val="001B4F00"/>
    <w:rPr>
      <w:i/>
      <w:iCs/>
      <w:color w:val="0F4761" w:themeColor="accent1" w:themeShade="BF"/>
    </w:rPr>
  </w:style>
  <w:style w:type="paragraph" w:styleId="IntenseQuote">
    <w:name w:val="Intense Quote"/>
    <w:basedOn w:val="Normal"/>
    <w:next w:val="Normal"/>
    <w:link w:val="IntenseQuoteChar"/>
    <w:uiPriority w:val="30"/>
    <w:qFormat/>
    <w:rsid w:val="001B4F0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lang w:val="en-ZA"/>
      <w14:ligatures w14:val="standardContextual"/>
    </w:rPr>
  </w:style>
  <w:style w:type="character" w:customStyle="1" w:styleId="IntenseQuoteChar">
    <w:name w:val="Intense Quote Char"/>
    <w:basedOn w:val="DefaultParagraphFont"/>
    <w:link w:val="IntenseQuote"/>
    <w:uiPriority w:val="30"/>
    <w:rsid w:val="001B4F00"/>
    <w:rPr>
      <w:i/>
      <w:iCs/>
      <w:color w:val="0F4761" w:themeColor="accent1" w:themeShade="BF"/>
    </w:rPr>
  </w:style>
  <w:style w:type="character" w:styleId="IntenseReference">
    <w:name w:val="Intense Reference"/>
    <w:basedOn w:val="DefaultParagraphFont"/>
    <w:uiPriority w:val="32"/>
    <w:qFormat/>
    <w:rsid w:val="001B4F00"/>
    <w:rPr>
      <w:b/>
      <w:bCs/>
      <w:smallCaps/>
      <w:color w:val="0F4761" w:themeColor="accent1" w:themeShade="BF"/>
      <w:spacing w:val="5"/>
    </w:rPr>
  </w:style>
  <w:style w:type="paragraph" w:styleId="Header">
    <w:name w:val="header"/>
    <w:basedOn w:val="Normal"/>
    <w:link w:val="HeaderChar"/>
    <w:uiPriority w:val="99"/>
    <w:unhideWhenUsed/>
    <w:rsid w:val="001B4F00"/>
    <w:pPr>
      <w:tabs>
        <w:tab w:val="center" w:pos="4680"/>
        <w:tab w:val="right" w:pos="9360"/>
      </w:tabs>
    </w:pPr>
  </w:style>
  <w:style w:type="character" w:customStyle="1" w:styleId="HeaderChar">
    <w:name w:val="Header Char"/>
    <w:basedOn w:val="DefaultParagraphFont"/>
    <w:link w:val="Header"/>
    <w:uiPriority w:val="99"/>
    <w:rsid w:val="001B4F00"/>
    <w:rPr>
      <w:kern w:val="0"/>
      <w:lang w:val="en-GB"/>
      <w14:ligatures w14:val="none"/>
    </w:rPr>
  </w:style>
  <w:style w:type="paragraph" w:styleId="Footer">
    <w:name w:val="footer"/>
    <w:basedOn w:val="Normal"/>
    <w:link w:val="FooterChar"/>
    <w:uiPriority w:val="99"/>
    <w:unhideWhenUsed/>
    <w:rsid w:val="001B4F00"/>
    <w:pPr>
      <w:tabs>
        <w:tab w:val="center" w:pos="4680"/>
        <w:tab w:val="right" w:pos="9360"/>
      </w:tabs>
    </w:pPr>
  </w:style>
  <w:style w:type="character" w:customStyle="1" w:styleId="FooterChar">
    <w:name w:val="Footer Char"/>
    <w:basedOn w:val="DefaultParagraphFont"/>
    <w:link w:val="Footer"/>
    <w:uiPriority w:val="99"/>
    <w:rsid w:val="001B4F00"/>
    <w:rPr>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210</TotalTime>
  <Pages>1</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Pothier [CPLO]</dc:creator>
  <cp:keywords/>
  <dc:description/>
  <cp:lastModifiedBy>Mike Pothier [CPLO]</cp:lastModifiedBy>
  <cp:revision>3</cp:revision>
  <dcterms:created xsi:type="dcterms:W3CDTF">2026-08-05T09:57:00Z</dcterms:created>
  <dcterms:modified xsi:type="dcterms:W3CDTF">2026-08-05T13:51:00Z</dcterms:modified>
</cp:coreProperties>
</file>